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Id="rDoc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rPr/>
        <w:t xml:space="preserve">上海三信PC5 功能型双参数笔式计（pH/电导率/TDS）</w:t>
      </w:r>
    </w:p>
    <w:p>
      <w:pPr/>
      <w:r>
        <w:rPr/>
        <w:t xml:space="preserve">PC5功能型pH/电导率仪双参数笔式计，适合常规水溶液pH和电导率/TDS/盐度测试，如水培、水产养殖、游泳池和温泉、水处理、工厂冷却塔等应用场景。坚固的手提箱，内含所有附件，尤其适合在野外和现场使用。</w:t>
      </w:r>
    </w:p>
    <w:p>
      <w:pPr>
        <w:pStyle w:val="Heading1"/>
      </w:pPr>
      <w:r>
        <w:rPr/>
        <w:t xml:space="preserve">产品描述</w:t>
      </w:r>
    </w:p>
    <w:p>
      <w:pPr>
        <w:ind w:left="240" w:hanging="160"/>
      </w:pPr>
      <w:r>
        <w:rPr/>
        <w:t xml:space="preserve">• </w:t>
      </w:r>
      <w:r>
        <w:rPr/>
        <w:t xml:space="preserve">配置 pH/ 电导率组合电极，同时测量 pH、电导率、TDS、盐度、温度</w:t>
      </w:r>
    </w:p>
    <w:p>
      <w:pPr>
        <w:ind w:left="240" w:hanging="160"/>
      </w:pPr>
      <w:r>
        <w:rPr/>
        <w:t xml:space="preserve">• </w:t>
      </w:r>
      <w:r>
        <w:rPr/>
        <w:t xml:space="preserve">电极可替换，轻松安装</w:t>
      </w:r>
    </w:p>
    <w:p>
      <w:pPr>
        <w:ind w:left="240" w:hanging="160"/>
      </w:pPr>
      <w:r>
        <w:rPr/>
        <w:t xml:space="preserve">• </w:t>
      </w:r>
      <w:r>
        <w:rPr/>
        <w:t xml:space="preserve">适用于常规水溶液，如水培、水产养殖、游泳池、水处理、环境监测、教育等应用场景</w:t>
      </w:r>
    </w:p>
    <w:p>
      <w:pPr>
        <w:ind w:left="240" w:hanging="160"/>
      </w:pPr>
      <w:r>
        <w:rPr/>
        <w:t xml:space="preserve">• </w:t>
      </w:r>
      <w:r>
        <w:rPr/>
        <w:t xml:space="preserve">双色背光 LCD 显示屏，蓝色为测量模式，绿色为校准模式</w:t>
      </w:r>
    </w:p>
    <w:p>
      <w:pPr>
        <w:ind w:left="240" w:hanging="160"/>
      </w:pPr>
      <w:r>
        <w:rPr/>
        <w:t xml:space="preserve">• </w:t>
      </w:r>
      <w:r>
        <w:rPr/>
        <w:t xml:space="preserve">智能型芯片设计，具有 1~3 点自动校准、0~50℃自动温度补偿、功能设置、自诊断、校准提示功能、读数自动锁定、自动关机和低电压显示等智能化功能</w:t>
      </w:r>
    </w:p>
    <w:p>
      <w:pPr>
        <w:ind w:left="240" w:hanging="160"/>
      </w:pPr>
      <w:r>
        <w:rPr/>
        <w:t xml:space="preserve">• </w:t>
      </w:r>
      <w:r>
        <w:rPr/>
        <w:t xml:space="preserve">丰富的参数设置功能，包括 TDS 转换系数、基准温度、温度补偿系数、自动关机时间、背光显示时间等</w:t>
      </w:r>
    </w:p>
    <w:p>
      <w:pPr>
        <w:ind w:left="240" w:hanging="160"/>
      </w:pPr>
      <w:r>
        <w:rPr/>
        <w:t xml:space="preserve">• </w:t>
      </w:r>
      <w:r>
        <w:rPr/>
        <w:t xml:space="preserve">符合 IP67 防尘防水 , 适合野外和现场使用</w:t>
      </w:r>
    </w:p>
    <w:p>
      <w:pPr>
        <w:ind w:left="240" w:hanging="160"/>
      </w:pPr>
      <w:r>
        <w:rPr/>
        <w:t xml:space="preserve">• </w:t>
      </w:r>
      <w:r>
        <w:rPr/>
        <w:t xml:space="preserve">配置专用手提箱，内含校准溶液、浸泡液和测试瓶等配件，方便使用</w:t>
      </w:r>
    </w:p>
    <w:p>
      <w:pPr/>
      <w:r>
        <w:rPr/>
        <w:t xml:space="preserve"> </w:t>
      </w:r>
    </w:p>
    <w:p>
      <w:pPr/>
      <w:r>
        <w:rPr/>
        <w:t xml:space="preserve">装箱配套：</w:t>
      </w:r>
    </w:p>
    <w:tbl>
      <w:tblPr>
        <w:tblW w:w="9638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80" w:type="dxa"/>
          <w:left w:w="100" w:type="dxa"/>
          <w:bottom w:w="80" w:type="dxa"/>
          <w:right w:w="100" w:type="dxa"/>
        </w:tblCellMar>
      </w:tblPr>
      <w:tblGrid>
        <w:gridCol w:w="4819"/>
        <w:gridCol w:w="4819"/>
      </w:tblGrid>
      <w:tr>
        <w:tc>
          <w:tcPr>
            <w:tcW w:w="4819" w:type="dxa"/>
            <w:vAlign w:val="center"/>
          </w:tcPr>
          <w:p>
            <w:pPr/>
            <w:r>
              <w:rPr/>
              <w:t xml:space="preserve">PC5 笔式 pH/ 电导率仪</w:t>
            </w:r>
          </w:p>
          <w:p/>
        </w:tc>
        <w:tc>
          <w:tcPr>
            <w:tcW w:w="4819" w:type="dxa"/>
            <w:vAlign w:val="center"/>
          </w:tcPr>
          <w:p>
            <w:pPr/>
            <w:r>
              <w:rPr/>
              <w:t xml:space="preserve">1</w:t>
            </w:r>
          </w:p>
          <w:p/>
        </w:tc>
      </w:tr>
      <w:tr>
        <w:tc>
          <w:tcPr>
            <w:tcW w:w="4819" w:type="dxa"/>
            <w:vAlign w:val="center"/>
          </w:tcPr>
          <w:p>
            <w:pPr/>
            <w:r>
              <w:rPr/>
              <w:t xml:space="preserve">pH4.00 校准溶液</w:t>
            </w:r>
          </w:p>
          <w:p/>
        </w:tc>
        <w:tc>
          <w:tcPr>
            <w:tcW w:w="4819" w:type="dxa"/>
            <w:vAlign w:val="center"/>
          </w:tcPr>
          <w:p>
            <w:pPr/>
            <w:r>
              <w:rPr/>
              <w:t xml:space="preserve">1</w:t>
            </w:r>
          </w:p>
          <w:p/>
        </w:tc>
      </w:tr>
      <w:tr>
        <w:tc>
          <w:tcPr>
            <w:tcW w:w="4819" w:type="dxa"/>
            <w:vAlign w:val="center"/>
          </w:tcPr>
          <w:p>
            <w:pPr/>
            <w:r>
              <w:rPr/>
              <w:t xml:space="preserve">pH7.00 校准溶液</w:t>
            </w:r>
          </w:p>
          <w:p/>
        </w:tc>
        <w:tc>
          <w:tcPr>
            <w:tcW w:w="4819" w:type="dxa"/>
            <w:vAlign w:val="center"/>
          </w:tcPr>
          <w:p>
            <w:pPr/>
            <w:r>
              <w:rPr/>
              <w:t xml:space="preserve">1</w:t>
            </w:r>
          </w:p>
          <w:p/>
        </w:tc>
      </w:tr>
      <w:tr>
        <w:tc>
          <w:tcPr>
            <w:tcW w:w="4819" w:type="dxa"/>
            <w:vAlign w:val="center"/>
          </w:tcPr>
          <w:p>
            <w:pPr/>
            <w:r>
              <w:rPr/>
              <w:t xml:space="preserve">1413μS/cm 电导率校准溶液</w:t>
            </w:r>
          </w:p>
          <w:p/>
        </w:tc>
        <w:tc>
          <w:tcPr>
            <w:tcW w:w="4819" w:type="dxa"/>
            <w:vAlign w:val="center"/>
          </w:tcPr>
          <w:p>
            <w:pPr/>
            <w:r>
              <w:rPr/>
              <w:t xml:space="preserve">1</w:t>
            </w:r>
          </w:p>
          <w:p/>
        </w:tc>
      </w:tr>
      <w:tr>
        <w:tc>
          <w:tcPr>
            <w:tcW w:w="4819" w:type="dxa"/>
            <w:vAlign w:val="center"/>
          </w:tcPr>
          <w:p>
            <w:pPr/>
            <w:r>
              <w:rPr/>
              <w:t xml:space="preserve">12.88mS/cm 电导率校准溶液</w:t>
            </w:r>
          </w:p>
          <w:p/>
        </w:tc>
        <w:tc>
          <w:tcPr>
            <w:tcW w:w="4819" w:type="dxa"/>
            <w:vAlign w:val="center"/>
          </w:tcPr>
          <w:p>
            <w:pPr/>
            <w:r>
              <w:rPr/>
              <w:t xml:space="preserve">1</w:t>
            </w:r>
          </w:p>
          <w:p/>
        </w:tc>
      </w:tr>
      <w:tr>
        <w:tc>
          <w:tcPr>
            <w:tcW w:w="4819" w:type="dxa"/>
            <w:vAlign w:val="center"/>
          </w:tcPr>
          <w:p>
            <w:pPr/>
            <w:r>
              <w:rPr/>
              <w:t xml:space="preserve">pH4.00 校准瓶</w:t>
            </w:r>
          </w:p>
          <w:p/>
        </w:tc>
        <w:tc>
          <w:tcPr>
            <w:tcW w:w="4819" w:type="dxa"/>
            <w:vAlign w:val="center"/>
          </w:tcPr>
          <w:p>
            <w:pPr/>
            <w:r>
              <w:rPr/>
              <w:t xml:space="preserve">1</w:t>
            </w:r>
          </w:p>
          <w:p/>
        </w:tc>
      </w:tr>
      <w:tr>
        <w:tc>
          <w:tcPr>
            <w:tcW w:w="4819" w:type="dxa"/>
            <w:vAlign w:val="center"/>
          </w:tcPr>
          <w:p>
            <w:pPr/>
            <w:r>
              <w:rPr/>
              <w:t xml:space="preserve">pH7.00 校准瓶</w:t>
            </w:r>
          </w:p>
          <w:p/>
        </w:tc>
        <w:tc>
          <w:tcPr>
            <w:tcW w:w="4819" w:type="dxa"/>
            <w:vAlign w:val="center"/>
          </w:tcPr>
          <w:p>
            <w:pPr/>
            <w:r>
              <w:rPr/>
              <w:t xml:space="preserve">1</w:t>
            </w:r>
          </w:p>
          <w:p/>
        </w:tc>
      </w:tr>
      <w:tr>
        <w:tc>
          <w:tcPr>
            <w:tcW w:w="4819" w:type="dxa"/>
            <w:vAlign w:val="center"/>
          </w:tcPr>
          <w:p>
            <w:pPr/>
            <w:r>
              <w:rPr/>
              <w:t xml:space="preserve">1413μS/cm 电导率校准瓶</w:t>
            </w:r>
          </w:p>
          <w:p/>
        </w:tc>
        <w:tc>
          <w:tcPr>
            <w:tcW w:w="4819" w:type="dxa"/>
            <w:vAlign w:val="center"/>
          </w:tcPr>
          <w:p>
            <w:pPr/>
            <w:r>
              <w:rPr/>
              <w:t xml:space="preserve">1</w:t>
            </w:r>
          </w:p>
          <w:p/>
        </w:tc>
      </w:tr>
      <w:tr>
        <w:tc>
          <w:tcPr>
            <w:tcW w:w="4819" w:type="dxa"/>
            <w:vAlign w:val="center"/>
          </w:tcPr>
          <w:p>
            <w:pPr/>
            <w:r>
              <w:rPr/>
              <w:t xml:space="preserve">12.88mS/cm 电导率校准瓶</w:t>
            </w:r>
          </w:p>
          <w:p/>
        </w:tc>
        <w:tc>
          <w:tcPr>
            <w:tcW w:w="4819" w:type="dxa"/>
            <w:vAlign w:val="center"/>
          </w:tcPr>
          <w:p>
            <w:pPr/>
            <w:r>
              <w:rPr/>
              <w:t xml:space="preserve">1</w:t>
            </w:r>
          </w:p>
          <w:p/>
        </w:tc>
      </w:tr>
      <w:tr>
        <w:tc>
          <w:tcPr>
            <w:tcW w:w="4819" w:type="dxa"/>
            <w:vAlign w:val="center"/>
          </w:tcPr>
          <w:p>
            <w:pPr/>
            <w:r>
              <w:rPr/>
              <w:t xml:space="preserve">3M KCl 电极浸泡液</w:t>
            </w:r>
          </w:p>
          <w:p/>
        </w:tc>
        <w:tc>
          <w:tcPr>
            <w:tcW w:w="4819" w:type="dxa"/>
            <w:vAlign w:val="center"/>
          </w:tcPr>
          <w:p>
            <w:pPr/>
            <w:r>
              <w:rPr/>
              <w:t xml:space="preserve">1</w:t>
            </w:r>
          </w:p>
          <w:p/>
        </w:tc>
      </w:tr>
      <w:tr>
        <w:tc>
          <w:tcPr>
            <w:tcW w:w="4819" w:type="dxa"/>
            <w:vAlign w:val="center"/>
          </w:tcPr>
          <w:p>
            <w:pPr/>
            <w:r>
              <w:rPr/>
              <w:t xml:space="preserve">挂绳</w:t>
            </w:r>
          </w:p>
          <w:p/>
        </w:tc>
        <w:tc>
          <w:tcPr>
            <w:tcW w:w="4819" w:type="dxa"/>
            <w:vAlign w:val="center"/>
          </w:tcPr>
          <w:p>
            <w:pPr/>
            <w:r>
              <w:rPr/>
              <w:t xml:space="preserve">1</w:t>
            </w:r>
          </w:p>
          <w:p/>
        </w:tc>
      </w:tr>
      <w:tr>
        <w:tc>
          <w:tcPr>
            <w:tcW w:w="4819" w:type="dxa"/>
            <w:vAlign w:val="center"/>
          </w:tcPr>
          <w:p>
            <w:pPr/>
            <w:r>
              <w:rPr/>
              <w:t xml:space="preserve">7 号碱性电池</w:t>
            </w:r>
          </w:p>
          <w:p/>
        </w:tc>
        <w:tc>
          <w:tcPr>
            <w:tcW w:w="4819" w:type="dxa"/>
            <w:vAlign w:val="center"/>
          </w:tcPr>
          <w:p>
            <w:pPr/>
            <w:r>
              <w:rPr/>
              <w:t xml:space="preserve">4</w:t>
            </w:r>
          </w:p>
          <w:p/>
        </w:tc>
      </w:tr>
      <w:tr>
        <w:tc>
          <w:tcPr>
            <w:tcW w:w="4819" w:type="dxa"/>
            <w:vAlign w:val="center"/>
          </w:tcPr>
          <w:p>
            <w:pPr/>
            <w:r>
              <w:rPr/>
              <w:t xml:space="preserve">手提箱</w:t>
            </w:r>
          </w:p>
          <w:p/>
        </w:tc>
        <w:tc>
          <w:tcPr>
            <w:tcW w:w="4819" w:type="dxa"/>
            <w:vAlign w:val="center"/>
          </w:tcPr>
          <w:p>
            <w:pPr/>
            <w:r>
              <w:rPr/>
              <w:t xml:space="preserve">1</w:t>
            </w:r>
          </w:p>
          <w:p/>
        </w:tc>
      </w:tr>
    </w:tbl>
    <w:p/>
    <w:p>
      <w:pPr/>
      <w:r>
        <w:drawing>
          <wp:inline distT="0" distB="0" distL="0" distR="0">
            <wp:extent cx="6120130" cy="2653650"/>
            <wp:docPr id="1" name="Product image 1"/>
            <a:graphic>
              <a:graphicData uri="http://schemas.openxmlformats.org/drawingml/2006/picture">
                <pic:pic>
                  <pic:nvPicPr>
                    <pic:cNvPr id="1" name="Product image 1"/>
                    <pic:cNvPicPr/>
                  </pic:nvPicPr>
                  <pic:blipFill>
                    <a:blip r:embed="rImg1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65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rPr/>
        <w:t xml:space="preserve">技术参数</w:t>
      </w:r>
    </w:p>
    <w:tbl>
      <w:tblPr>
        <w:tblW w:w="9638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80" w:type="dxa"/>
          <w:left w:w="100" w:type="dxa"/>
          <w:bottom w:w="80" w:type="dxa"/>
          <w:right w:w="100" w:type="dxa"/>
        </w:tblCellMar>
      </w:tblPr>
      <w:tblGrid>
        <w:gridCol w:w="3212"/>
        <w:gridCol w:w="3212"/>
        <w:gridCol w:w="3212"/>
      </w:tblGrid>
      <w:tr>
        <w:tc>
          <w:tcPr>
            <w:tcW w:w="3212" w:type="dxa"/>
            <w:vAlign w:val="center"/>
            <w:vMerge w:val="restart"/>
          </w:tcPr>
          <w:p>
            <w:pPr/>
            <w:r>
              <w:rPr/>
              <w:t xml:space="preserve"> 
</w:t>
            </w:r>
          </w:p>
          <w:p>
            <w:pPr/>
            <w:r>
              <w:rPr/>
              <w:t xml:space="preserve"> </w:t>
            </w:r>
          </w:p>
          <w:p>
            <w:pPr/>
            <w:r>
              <w:rPr/>
              <w:t xml:space="preserve">pH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测量范围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-2.00~16.00pH</w:t>
            </w:r>
          </w:p>
          <w:p/>
        </w:tc>
      </w:tr>
      <w:tr>
        <w:tc>
          <w:tcPr>
            <w:tcW w:w="3212" w:type="dxa"/>
            <w:vAlign w:val="center"/>
            <w:vMerge w:val="continue"/>
          </w:tcPr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分辨率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0.01pH</w:t>
            </w:r>
          </w:p>
          <w:p/>
        </w:tc>
      </w:tr>
      <w:tr>
        <w:tc>
          <w:tcPr>
            <w:tcW w:w="3212" w:type="dxa"/>
            <w:vAlign w:val="center"/>
            <w:vMerge w:val="continue"/>
          </w:tcPr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精度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± 0.01pH</w:t>
            </w:r>
          </w:p>
          <w:p/>
        </w:tc>
      </w:tr>
      <w:tr>
        <w:tc>
          <w:tcPr>
            <w:tcW w:w="3212" w:type="dxa"/>
            <w:vAlign w:val="center"/>
            <w:vMerge w:val="continue"/>
          </w:tcPr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校准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1~3 点自动校准</w:t>
            </w:r>
          </w:p>
          <w:p/>
        </w:tc>
      </w:tr>
      <w:tr>
        <w:tc>
          <w:tcPr>
            <w:tcW w:w="3212" w:type="dxa"/>
            <w:vAlign w:val="center"/>
            <w:vMerge w:val="continue"/>
          </w:tcPr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自动温度补偿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0~50℃</w:t>
            </w:r>
          </w:p>
          <w:p/>
        </w:tc>
      </w:tr>
      <w:tr>
        <w:tc>
          <w:tcPr>
            <w:tcW w:w="3212" w:type="dxa"/>
            <w:vAlign w:val="center"/>
            <w:vMerge w:val="restart"/>
          </w:tcPr>
          <w:p>
            <w:pPr/>
            <w:r>
              <w:rPr/>
              <w:t xml:space="preserve"> 
</w:t>
            </w:r>
          </w:p>
          <w:p>
            <w:pPr/>
            <w:r>
              <w:rPr/>
              <w:t xml:space="preserve">电导率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测量范围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0~200.0μS, 0~2000μS, 0~20.00mS</w:t>
            </w:r>
          </w:p>
          <w:p/>
        </w:tc>
      </w:tr>
      <w:tr>
        <w:tc>
          <w:tcPr>
            <w:tcW w:w="3212" w:type="dxa"/>
            <w:vAlign w:val="center"/>
            <w:vMerge w:val="continue"/>
          </w:tcPr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分辨率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0.1/1μS，0.01mS</w:t>
            </w:r>
          </w:p>
          <w:p/>
        </w:tc>
      </w:tr>
      <w:tr>
        <w:tc>
          <w:tcPr>
            <w:tcW w:w="3212" w:type="dxa"/>
            <w:vAlign w:val="center"/>
            <w:vMerge w:val="continue"/>
          </w:tcPr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精度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±1%FS</w:t>
            </w:r>
          </w:p>
          <w:p/>
        </w:tc>
      </w:tr>
      <w:tr>
        <w:tc>
          <w:tcPr>
            <w:tcW w:w="3212" w:type="dxa"/>
            <w:vAlign w:val="center"/>
            <w:vMerge w:val="continue"/>
          </w:tcPr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校准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1~3 点自动校准</w:t>
            </w:r>
          </w:p>
          <w:p/>
        </w:tc>
      </w:tr>
      <w:tr>
        <w:tc>
          <w:tcPr>
            <w:tcW w:w="3212" w:type="dxa"/>
            <w:vAlign w:val="center"/>
          </w:tcPr>
          <w:p>
            <w:pPr/>
            <w:r>
              <w:rPr/>
              <w:t xml:space="preserve">TDS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测量范围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0~100.0ppm, 0~1000ppm, 0~10.00ppt</w:t>
            </w:r>
          </w:p>
          <w:p/>
        </w:tc>
      </w:tr>
      <w:tr>
        <w:tc>
          <w:tcPr>
            <w:tcW w:w="3212" w:type="dxa"/>
            <w:vAlign w:val="center"/>
          </w:tcPr>
          <w:p>
            <w:pPr/>
            <w:r>
              <w:rPr/>
              <w:t xml:space="preserve">盐度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测量范围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0~10.00ppt</w:t>
            </w:r>
          </w:p>
          <w:p/>
        </w:tc>
      </w:tr>
      <w:tr>
        <w:tc>
          <w:tcPr>
            <w:tcW w:w="3212" w:type="dxa"/>
            <w:vAlign w:val="center"/>
            <w:vMerge w:val="restart"/>
          </w:tcPr>
          <w:p>
            <w:pPr/>
            <w:r>
              <w:rPr/>
              <w:t xml:space="preserve"> 
</w:t>
            </w:r>
          </w:p>
          <w:p>
            <w:pPr/>
            <w:r>
              <w:rPr/>
              <w:t xml:space="preserve">温度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测量范围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0~50 ℃</w:t>
            </w:r>
          </w:p>
          <w:p/>
        </w:tc>
      </w:tr>
      <w:tr>
        <w:tc>
          <w:tcPr>
            <w:tcW w:w="3212" w:type="dxa"/>
            <w:vAlign w:val="center"/>
            <w:vMerge w:val="continue"/>
          </w:tcPr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分辨率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0.1℃</w:t>
            </w:r>
          </w:p>
          <w:p/>
        </w:tc>
      </w:tr>
      <w:tr>
        <w:tc>
          <w:tcPr>
            <w:tcW w:w="3212" w:type="dxa"/>
            <w:vAlign w:val="center"/>
            <w:vMerge w:val="continue"/>
          </w:tcPr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精度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± 0.5℃</w:t>
            </w:r>
          </w:p>
          <w:p/>
        </w:tc>
      </w:tr>
      <w:tr>
        <w:tc>
          <w:tcPr>
            <w:tcW w:w="3212" w:type="dxa"/>
            <w:vAlign w:val="center"/>
            <w:vMerge w:val="restart"/>
          </w:tcPr>
          <w:p>
            <w:pPr/>
            <w:r>
              <w:rPr/>
              <w:t xml:space="preserve"> 
</w:t>
            </w:r>
          </w:p>
          <w:p>
            <w:pPr/>
            <w:r>
              <w:rPr/>
              <w:t xml:space="preserve"> </w:t>
            </w:r>
          </w:p>
          <w:p>
            <w:pPr/>
            <w:r>
              <w:rPr/>
              <w:t xml:space="preserve"> </w:t>
            </w:r>
          </w:p>
          <w:p>
            <w:pPr/>
            <w:r>
              <w:rPr/>
              <w:t xml:space="preserve"> </w:t>
            </w:r>
          </w:p>
          <w:p>
            <w:pPr/>
            <w:r>
              <w:rPr/>
              <w:t xml:space="preserve">其它功能和参数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显示屏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STN 型，180°视角。蓝色背光：测量模式；绿色背光：校准模式</w:t>
            </w:r>
          </w:p>
          <w:p/>
        </w:tc>
      </w:tr>
      <w:tr>
        <w:tc>
          <w:tcPr>
            <w:tcW w:w="3212" w:type="dxa"/>
            <w:vAlign w:val="center"/>
            <w:vMerge w:val="continue"/>
          </w:tcPr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测量值锁定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HOLD</w:t>
            </w:r>
          </w:p>
          <w:p/>
        </w:tc>
      </w:tr>
      <w:tr>
        <w:tc>
          <w:tcPr>
            <w:tcW w:w="3212" w:type="dxa"/>
            <w:vAlign w:val="center"/>
            <w:vMerge w:val="continue"/>
          </w:tcPr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低电压提醒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图标闪烁，此时提醒更换电池。</w:t>
            </w:r>
          </w:p>
          <w:p/>
        </w:tc>
      </w:tr>
      <w:tr>
        <w:tc>
          <w:tcPr>
            <w:tcW w:w="3212" w:type="dxa"/>
            <w:vAlign w:val="center"/>
            <w:vMerge w:val="continue"/>
          </w:tcPr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自动关机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8 分钟内无操作 , 仪器自动关机</w:t>
            </w:r>
          </w:p>
          <w:p/>
        </w:tc>
      </w:tr>
      <w:tr>
        <w:tc>
          <w:tcPr>
            <w:tcW w:w="3212" w:type="dxa"/>
            <w:vAlign w:val="center"/>
            <w:vMerge w:val="continue"/>
          </w:tcPr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防水等级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IP67，能漂浮水面。</w:t>
            </w:r>
          </w:p>
          <w:p/>
        </w:tc>
      </w:tr>
      <w:tr>
        <w:tc>
          <w:tcPr>
            <w:tcW w:w="3212" w:type="dxa"/>
            <w:vAlign w:val="center"/>
            <w:vMerge w:val="continue"/>
          </w:tcPr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电源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DC3V, 7 号碱性电池 ×4</w:t>
            </w:r>
          </w:p>
          <w:p/>
        </w:tc>
      </w:tr>
      <w:tr>
        <w:tc>
          <w:tcPr>
            <w:tcW w:w="3212" w:type="dxa"/>
            <w:vAlign w:val="center"/>
            <w:vMerge w:val="continue"/>
          </w:tcPr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电池寿命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连续使用＞ 200 小时</w:t>
            </w:r>
          </w:p>
          <w:p/>
        </w:tc>
      </w:tr>
      <w:tr>
        <w:tc>
          <w:tcPr>
            <w:tcW w:w="3212" w:type="dxa"/>
            <w:vAlign w:val="center"/>
            <w:vMerge w:val="continue"/>
          </w:tcPr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尺寸 / 重量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仪表：40×40×178mm/133g;  手提箱：255×210×50mm/438g;</w:t>
            </w:r>
          </w:p>
          <w:p/>
        </w:tc>
      </w:tr>
    </w:tbl>
    <w:p/>
    <w:sectPr>
      <w:footerReference w:type="default" r:id="rFooter"/>
      <w:pgSz w:w="11906" w:h="16838"/>
      <w:pgMar w:top="1134" w:right="1134" w:bottom="1134" w:left="1134" w:footer="567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hyperlink r:id="rWebsite">
      <w:r>
        <w:rPr>
          <w:rFonts w:ascii="Arial" w:hAnsi="Arial"/>
          <w:color w:val="666666"/>
          <w:sz w:val="18"/>
        </w:rPr>
        <w:t>https://www.shsanxin.com.cn/</w:t>
      </w:r>
    </w:hyperlink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eastAsia="Microsoft YaHei"/>
        <w:color w:val="000000"/>
        <w:sz w:val="21"/>
      </w:rPr>
    </w:rPrDefault>
    <w:pPrDefault>
      <w:pPr>
        <w:spacing w:after="120" w:line="300" w:lineRule="auto"/>
      </w:pPr>
    </w:pPrDefault>
  </w:docDefaults>
  <w:style w:type="paragraph" w:styleId="Title">
    <w:name w:val="Title"/>
    <w:pPr>
      <w:keepNext/>
      <w:spacing w:before="200" w:after="140"/>
    </w:pPr>
    <w:rPr>
      <w:b/>
      <w:color w:val="000000"/>
      <w:sz w:val="36"/>
    </w:rPr>
  </w:style>
  <w:style w:type="paragraph" w:styleId="Heading1">
    <w:name w:val="Heading1"/>
    <w:pPr>
      <w:keepNext/>
      <w:spacing w:before="200" w:after="140"/>
    </w:pPr>
    <w:rPr>
      <w:b/>
      <w:color w:val="000000"/>
      <w:sz w:val="28"/>
    </w:rPr>
  </w:style>
  <w:style w:type="paragraph" w:styleId="Heading2">
    <w:name w:val="Heading2"/>
    <w:pPr>
      <w:keepNext/>
      <w:spacing w:before="200" w:after="140"/>
    </w:pPr>
    <w:rPr>
      <w:b/>
      <w:color w:val="000000"/>
      <w:sz w:val="24"/>
    </w:rPr>
  </w:style>
</w:styles>
</file>

<file path=word/_rels/document.xml.rels><?xml version="1.0"?><Relationships xmlns="http://schemas.openxmlformats.org/package/2006/relationships"><Relationship Id="rStyles" Type="http://schemas.openxmlformats.org/officeDocument/2006/relationships/styles" Target="styles.xml"/><Relationship Id="rFooter" Type="http://schemas.openxmlformats.org/officeDocument/2006/relationships/footer" Target="footer1.xml"/><Relationship Id="rImg1" Type="http://schemas.openxmlformats.org/officeDocument/2006/relationships/image" Target="media/image1.png"/></Relationships>
</file>

<file path=word/_rels/footer1.xml.rels><?xml version="1.0"?><Relationships xmlns="http://schemas.openxmlformats.org/package/2006/relationships"><Relationship Id="rWebsite" Type="http://schemas.openxmlformats.org/officeDocument/2006/relationships/hyperlink" Target="https://www.shsanxin.com.cn/" TargetMode="External"/></Relationships>
</file>