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上海三信LabSen211通用型pH电极</w:t>
      </w:r>
    </w:p>
    <w:p>
      <w:pPr/>
      <w:r>
        <w:rPr/>
        <w:t xml:space="preserve">以全球领先的瑞士传感器技术为后盾，LabSen211 pH电极具有快速，稳定，精确和低漂移的pH测试特点，适合于常规pH测试和大部分酸碱滴定操作。兼容TRIS缓冲液。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●全球领先的瑞士pH传感器技术</w:t>
      </w:r>
      <w:r>
        <w:br/>
      </w:r>
      <w:r>
        <w:rPr/>
        <w:t xml:space="preserve">
●LabSen pH电极独特的低阻抗，厚膜化玻璃膜，强度是传统pH电极的10倍以上</w:t>
      </w:r>
      <w:r>
        <w:br/>
      </w:r>
      <w:r>
        <w:rPr/>
        <w:t xml:space="preserve">
●内溶液采用特殊的蓝色凝胶化工艺加工，内溶液不会流动，杜绝了气泡的产生，避免了玻璃膜内侧出现热的对流传导，提高了测量精度，也方便了使用</w:t>
      </w:r>
      <w:r>
        <w:br/>
      </w:r>
      <w:r>
        <w:rPr/>
        <w:t xml:space="preserve">
●长寿命参比系统，由玻璃细管，氯化银颗粒和银丝组成，细玻璃管头部塞有棉花，阻止由于温度变化导致氯化银与电解质的反应，提高了参比电极的稳定性和使用寿命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（0-14）pH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参比溶液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3M KCl</w:t>
            </w:r>
          </w:p>
          <w:p/>
        </w:tc>
      </w:tr>
      <w:tr>
        <w:tc>
          <w:tcPr>
            <w:tcW w:w="2409" w:type="dxa"/>
            <w:vAlign w:val="center"/>
          </w:tcPr>
          <w:p>
            <w:pPr/>
            <w:r>
              <w:rPr/>
              <w:t xml:space="preserve">温度范围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（-5~100）℃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浸泡液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3M KCl</w:t>
            </w:r>
          </w:p>
          <w:p/>
        </w:tc>
      </w:tr>
      <w:tr>
        <w:tc>
          <w:tcPr>
            <w:tcW w:w="2409" w:type="dxa"/>
            <w:vAlign w:val="center"/>
          </w:tcPr>
          <w:p>
            <w:pPr/>
            <w:r>
              <w:rPr/>
              <w:t xml:space="preserve">外壳材料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无铅玻璃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尺寸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（Φ12×120）mm</w:t>
            </w:r>
          </w:p>
          <w:p/>
        </w:tc>
      </w:tr>
      <w:tr>
        <w:tc>
          <w:tcPr>
            <w:tcW w:w="2409" w:type="dxa"/>
            <w:vAlign w:val="center"/>
          </w:tcPr>
          <w:p>
            <w:pPr/>
            <w:r>
              <w:rPr/>
              <w:t xml:space="preserve">玻璃膜形状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圆柱形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BNC</w:t>
            </w:r>
          </w:p>
          <w:p/>
        </w:tc>
      </w:tr>
      <w:tr>
        <w:tc>
          <w:tcPr>
            <w:tcW w:w="2409" w:type="dxa"/>
            <w:vAlign w:val="center"/>
          </w:tcPr>
          <w:p>
            <w:pPr/>
            <w:r>
              <w:rPr/>
              <w:t xml:space="preserve">参比电极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长寿命参比系统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电缆线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Φ3×1m</w:t>
            </w:r>
          </w:p>
          <w:p/>
        </w:tc>
      </w:tr>
      <w:tr>
        <w:tc>
          <w:tcPr>
            <w:tcW w:w="2409" w:type="dxa"/>
            <w:vAlign w:val="center"/>
          </w:tcPr>
          <w:p>
            <w:pPr/>
            <w:r>
              <w:rPr/>
              <w:t xml:space="preserve">液络部</w:t>
            </w:r>
          </w:p>
          <w:p/>
        </w:tc>
        <w:tc>
          <w:tcPr>
            <w:tcW w:w="2409" w:type="dxa"/>
            <w:vAlign w:val="center"/>
          </w:tcPr>
          <w:p>
            <w:pPr/>
            <w:r>
              <w:rPr/>
              <w:t xml:space="preserve">陶瓷</w:t>
            </w:r>
          </w:p>
          <w:p/>
        </w:tc>
        <w:tc>
          <w:tcPr>
            <w:tcW w:w="2409" w:type="dxa"/>
            <w:vAlign w:val="center"/>
          </w:tcPr>
          <w:p/>
        </w:tc>
        <w:tc>
          <w:tcPr>
            <w:tcW w:w="2409" w:type="dxa"/>
            <w:vAlign w:val="center"/>
          </w:tcPr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